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3BBFB94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86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285B75F3" w14:textId="4533D95F" w:rsidR="002F726A" w:rsidRPr="002F726A" w:rsidRDefault="00C8186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ARAKIS GOV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7B5F418A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86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481048B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86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7DB1CC28" w14:textId="683A9C17" w:rsidR="002F726A" w:rsidRPr="002F726A" w:rsidRDefault="00C81867" w:rsidP="002F726A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jest odizolowany od innych systemów teleinformatycznych z uwagi na cel w jakim został stworzony i będzie eksploatowany</w:t>
            </w:r>
            <w:r w:rsidR="0026524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657CC779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86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246BDD8A" w14:textId="565828DB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86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E277B71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86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69BEA81" w14:textId="77777777" w:rsidR="00A82E56" w:rsidRDefault="00A82E56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76E6AFEE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F13791"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5F58A8AF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86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1D85A788" w14:textId="77777777" w:rsidR="002F726A" w:rsidRPr="00265244" w:rsidRDefault="00C8186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65244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.</w:t>
            </w:r>
            <w:proofErr w:type="spellStart"/>
            <w:r w:rsidRPr="00265244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pcap</w:t>
            </w:r>
            <w:proofErr w:type="spellEnd"/>
            <w:r w:rsidRPr="00265244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– format danych sieciowych</w:t>
            </w:r>
          </w:p>
          <w:p w14:paraId="7574795D" w14:textId="77777777" w:rsidR="00C81867" w:rsidRPr="00265244" w:rsidRDefault="00C81867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65244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.</w:t>
            </w:r>
            <w:proofErr w:type="spellStart"/>
            <w:r w:rsidRPr="00265244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csv</w:t>
            </w:r>
            <w:proofErr w:type="spellEnd"/>
            <w:r w:rsidRPr="00265244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 – format danych tekstowych </w:t>
            </w:r>
          </w:p>
          <w:p w14:paraId="596B6153" w14:textId="7CD267B4" w:rsidR="001572C1" w:rsidRPr="002F726A" w:rsidRDefault="001572C1" w:rsidP="003E7901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65244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System jest odizolowany od innych systemów teleinformatycznych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</w:tc>
      </w:tr>
      <w:tr w:rsidR="002F726A" w:rsidRPr="002F726A" w14:paraId="21333F7F" w14:textId="77777777" w:rsidTr="00265244">
        <w:trPr>
          <w:trHeight w:val="3016"/>
        </w:trPr>
        <w:tc>
          <w:tcPr>
            <w:tcW w:w="421" w:type="dxa"/>
          </w:tcPr>
          <w:p w14:paraId="129FA7DB" w14:textId="2B78DE61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005F2E7A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86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2340868" w14:textId="3C014088" w:rsidR="002F726A" w:rsidRPr="002F726A" w:rsidRDefault="005039A4" w:rsidP="0026524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6DC7AEA8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86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2CBBC961" w14:textId="77777777" w:rsidR="00C81867" w:rsidRDefault="005039A4" w:rsidP="00C81867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  <w:r w:rsidR="00C81867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1F32DD95" w14:textId="03C1809F" w:rsidR="002F726A" w:rsidRPr="00265244" w:rsidRDefault="00C81867" w:rsidP="00265244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</w:pPr>
            <w:r w:rsidRPr="00265244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system nie będzie publicznie dostępny, a przekazywanie </w:t>
            </w:r>
            <w:r w:rsidR="00265244" w:rsidRPr="00265244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ww. szczegółowych </w:t>
            </w:r>
            <w:r w:rsidRPr="00265244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informacji </w:t>
            </w:r>
            <w:r w:rsidR="00265244" w:rsidRPr="00265244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 xml:space="preserve">technicznych </w:t>
            </w:r>
            <w:r w:rsidRPr="00265244">
              <w:rPr>
                <w:rFonts w:asciiTheme="minorHAnsi" w:hAnsiTheme="minorHAnsi" w:cstheme="minorBidi"/>
                <w:b w:val="0"/>
                <w:color w:val="auto"/>
                <w:highlight w:val="none"/>
                <w:lang w:eastAsia="en-US"/>
              </w:rPr>
              <w:t>dotyczących tego systemu mogłoby negatywnie wpłynąć na jego bezpieczeństwo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4BBFDBC0" w14:textId="319343AE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  <w:r w:rsidR="00265244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 xml:space="preserve"> </w:t>
      </w: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9BB762" w14:textId="77777777" w:rsidR="00265244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664EB5A7" w:rsidR="00D56C69" w:rsidRPr="00062A7C" w:rsidRDefault="00265244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bookmarkStart w:id="5" w:name="_GoBack"/>
      <w:bookmarkEnd w:id="5"/>
      <w:r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1572C1"/>
    <w:rsid w:val="002347F4"/>
    <w:rsid w:val="00247169"/>
    <w:rsid w:val="00265244"/>
    <w:rsid w:val="00270AC5"/>
    <w:rsid w:val="002715A6"/>
    <w:rsid w:val="002C0105"/>
    <w:rsid w:val="002F726A"/>
    <w:rsid w:val="00386575"/>
    <w:rsid w:val="003B36B9"/>
    <w:rsid w:val="003E7901"/>
    <w:rsid w:val="00404CD6"/>
    <w:rsid w:val="00410C09"/>
    <w:rsid w:val="00412928"/>
    <w:rsid w:val="00435E28"/>
    <w:rsid w:val="005039A4"/>
    <w:rsid w:val="006012F9"/>
    <w:rsid w:val="00655EB8"/>
    <w:rsid w:val="00661C06"/>
    <w:rsid w:val="00664C0B"/>
    <w:rsid w:val="00691231"/>
    <w:rsid w:val="006E4945"/>
    <w:rsid w:val="007C24F8"/>
    <w:rsid w:val="009053EE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C06375"/>
    <w:rsid w:val="00C81867"/>
    <w:rsid w:val="00CC4B02"/>
    <w:rsid w:val="00D56C69"/>
    <w:rsid w:val="00EA274F"/>
    <w:rsid w:val="00EB3DAC"/>
    <w:rsid w:val="00F116F0"/>
    <w:rsid w:val="00F13791"/>
    <w:rsid w:val="00F311AF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669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Kamionek Marcin</cp:lastModifiedBy>
  <cp:revision>6</cp:revision>
  <dcterms:created xsi:type="dcterms:W3CDTF">2019-06-12T08:20:00Z</dcterms:created>
  <dcterms:modified xsi:type="dcterms:W3CDTF">2019-06-12T13:56:00Z</dcterms:modified>
</cp:coreProperties>
</file>